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color and transparency. Picocyanobacteria from the genus</w:t>
      </w:r>
      <w:r>
        <w:t xml:space="preserve"> </w:t>
      </w:r>
      <w:r>
        <w:rPr>
          <w:iCs/>
          <w:i/>
        </w:rPr>
        <w:t xml:space="preserve">Synechococcus</w:t>
      </w:r>
      <w:r>
        <w:t xml:space="preserve"> </w:t>
      </w:r>
      <w:r>
        <w:t xml:space="preserve">occurred in tropical, subtropical and temperate zones, and they have been recorded recently even beyond the polar circle. The long-term scenarios forecast a growing expansion of</w:t>
      </w:r>
      <w:r>
        <w:t xml:space="preserve"> </w:t>
      </w:r>
      <w:r>
        <w:rPr>
          <w:iCs/>
          <w:i/>
        </w:rPr>
        <w:t xml:space="preserve">Synechococcus</w:t>
      </w:r>
      <w:r>
        <w:t xml:space="preserve"> </w:t>
      </w:r>
      <w:r>
        <w:t xml:space="preserve">sp. and its area of dominance. This is, among others, due to their high physiological plasticity in relation to changing environmental conditions.</w:t>
      </w:r>
    </w:p>
    <w:p>
      <w:pPr>
        <w:pStyle w:val="BodyText"/>
      </w:pPr>
      <w:r>
        <w:t xml:space="preserve">We demonstrated that cumulative diel photon dose consistently explain achieved growth rates of two PhycoCyanin(PC)-rich and two PhycoErythrin(PE)-rich strains of</w:t>
      </w:r>
      <w:r>
        <w:t xml:space="preserve"> </w:t>
      </w:r>
      <w:r>
        <w:rPr>
          <w:iCs/>
          <w:i/>
        </w:rPr>
        <w:t xml:space="preserve">Synechococcus</w:t>
      </w:r>
      <w:r>
        <w:t xml:space="preserve">, across a matrix of 4 photoperiods and 6 peaks Photosynthetically Active Radiation (PAR). Strains show distinct growth responses to cumulative diel photon dose, depending upon photoperiod and peak PAR. We found the strains were generally opportunistic in exploiting higher light diel light doses to achieve faster growth rates, although PE-rich strains suffered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w:t>
      </w:r>
    </w:p>
    <w:p>
      <w:pPr>
        <w:pStyle w:val="BodyText"/>
      </w:pPr>
      <w:r>
        <w:t xml:space="preserve">We showed that strains show consistent patterns of light capture efficacy; Photosynthetically Usable Radiation (PUR)/PAR ratio across cumulative diel photon doses. The ratio of PUR/PAR shows a consistent exponential decay in relation to cumulative photon dose, across different combinations of photoperiod and peak PAR. The PE-rich strains show a much higher PUR/PAR ratio under low cumulative diel photon dose, but decay towards a plateau close to the PC-rich strains as cumulative diel photon dose increases.</w:t>
      </w:r>
    </w:p>
    <w:p>
      <w:pPr>
        <w:pStyle w:val="BodyText"/>
      </w:pPr>
      <w:r>
        <w:t xml:space="preserve">The</w:t>
      </w:r>
      <w:r>
        <w:t xml:space="preserve"> </w:t>
      </w:r>
      <m:oMath>
        <m:r>
          <m:t>σ</m:t>
        </m:r>
      </m:oMath>
      <w:r>
        <w:rPr>
          <w:vertAlign w:val="subscript"/>
        </w:rPr>
        <w:t xml:space="preserve">PSII</w:t>
      </w:r>
      <w:r>
        <w:t xml:space="preserve">’ shows a consistent, sharp exponential decay in relation to cumulative photon dose, across different combinations of photoperiod and peak PAR. The PE-rich strains show a much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 The</w:t>
      </w:r>
      <w:r>
        <w:t xml:space="preserve"> </w:t>
      </w:r>
      <m:oMath>
        <m:r>
          <m:t>σ</m:t>
        </m:r>
      </m:oMath>
      <w:r>
        <w:rPr>
          <w:vertAlign w:val="subscript"/>
        </w:rPr>
        <w:t xml:space="preserve">PSII</w:t>
      </w:r>
      <w:r>
        <w:t xml:space="preserve">’ also show a consistent relation to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For</w:t>
      </w:r>
      <w:r>
        <w:t xml:space="preserve"> </w:t>
      </w:r>
      <m:oMath>
        <m:r>
          <m:t>σ</m:t>
        </m:r>
      </m:oMath>
      <w:r>
        <w:rPr>
          <w:vertAlign w:val="subscript"/>
        </w:rPr>
        <w:t xml:space="preserve">PSII</w:t>
      </w:r>
      <w:r>
        <w:t xml:space="preserve">’ excited through phycobilisome absorbance at 590 nm, strains show consistent positive correlation with total Phyco/Chl</w:t>
      </w:r>
      <w:r>
        <w:t xml:space="preserve"> </w:t>
      </w:r>
      <w:r>
        <w:rPr>
          <w:iCs/>
          <w:i/>
        </w:rPr>
        <w:t xml:space="preserve">a</w:t>
      </w:r>
      <w:r>
        <w:t xml:space="preserve"> </w:t>
      </w:r>
      <w:r>
        <w:t xml:space="preserve">ratio. 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w:t>
      </w:r>
      <w:r>
        <w:t xml:space="preserve"> </w:t>
      </w:r>
      <m:oMath>
        <m:r>
          <m:t>σ</m:t>
        </m:r>
      </m:oMath>
      <w:r>
        <w:rPr>
          <w:vertAlign w:val="subscript"/>
        </w:rPr>
        <w:t xml:space="preserve">PSII</w:t>
      </w:r>
      <w:r>
        <w:t xml:space="preserve">’</w:t>
      </w:r>
      <w:r>
        <w:t xml:space="preserve"> </w:t>
      </w:r>
      <w:r>
        <w:t xml:space="preserve">vs. total Phyco/Chl</w:t>
      </w:r>
      <w:r>
        <w:t xml:space="preserve"> </w:t>
      </w:r>
      <w:r>
        <w:rPr>
          <w:iCs/>
          <w:i/>
        </w:rPr>
        <w:t xml:space="preserve">a</w:t>
      </w:r>
      <w:r>
        <w:t xml:space="preserve"> </w:t>
      </w:r>
      <w:r>
        <w:t xml:space="preserve">ratio showed much less scatter, suggesting an increase in reliance upon compositional regulation to control light delivery to PSII, as opposed to shorter term regulation.</w:t>
      </w:r>
    </w:p>
    <w:p>
      <w:pPr>
        <w:pStyle w:val="BodyText"/>
      </w:pPr>
      <w:r>
        <w:t xml:space="preserve">Our results show the PE-rich strains are stronger light harvesting competitors, but the PC-rich strains may have lower N-quotients for their light capture system. These differences help explain differential seasonal prevalence of PE-rich and PC-rich picocyanobacteria, in terms of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both growth and light-capture in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We used a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680; red solid line, left y-axis) of PE-rich culture of Synechococcus sp. (048) vs. elapsed time (h); 1st derivative of OD680 taken over 1 h increments (black solid line, right y-axis).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680</w:t>
      </w:r>
      <w:r>
        <w:rPr>
          <w:bCs/>
          <w:b/>
        </w:rPr>
        <w:t xml:space="preserve">;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Linear regression, coefficient of determination, Pearson correlation coefficients, and p-value was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used for culture growth (Photosynthetically Active Radiation (PAR), normalized to emission at 440 nm (light gray area), in this example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lampused for culture growth (Photosynthetically Active Radiation (PAR), normalized to emission at 440 nm (light gray area), in this example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 p-value was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w:t>
      </w:r>
      <m:oMath>
        <m:r>
          <m:t>α</m:t>
        </m:r>
      </m:oMath>
      <w:r>
        <w:t xml:space="preserve">, initial slope of curve;</w:t>
      </w:r>
      <w:r>
        <w:t xml:space="preserve"> </w:t>
      </w:r>
      <m:oMath>
        <m:r>
          <m:t>β</m:t>
        </m:r>
      </m:oMath>
      <w:r>
        <w:t xml:space="preserve">, parameter reflecting the photoinhibition process; P</w:t>
      </w:r>
      <w:r>
        <w:rPr>
          <w:vertAlign w:val="subscript"/>
        </w:rPr>
        <w:t xml:space="preserve">max</w:t>
      </w:r>
      <w:r>
        <w:t xml:space="preserve">, the maximum rate of growth curve) model proposed by Harrison and Platt [citation xxx 1986].</w:t>
      </w:r>
    </w:p>
    <w:p>
      <w:pPr>
        <w:pStyle w:val="BodyText"/>
      </w:pPr>
      <w:r>
        <w:t xml:space="preserve">Linear regression, coefficient of determination (R square), Pearson correlation coefficients (R), and p-value was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or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Ex445 nm (blue)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1"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Research Question:</w:t>
      </w:r>
      <w:r>
        <w:t xml:space="preserve"> </w:t>
      </w:r>
      <w:r>
        <w:t xml:space="preserve">Does cumulative diel photon dose consistently explain achieved growth rates across a matrix of photoperiods and peak PAR?</w:t>
      </w:r>
    </w:p>
    <w:p>
      <w:pPr>
        <w:pStyle w:val="BodyText"/>
      </w:pPr>
      <w:r>
        <w:t xml:space="preserve">Test: Do strains show distinct growth responses to cumulative diel photon dose, depending upon photoperiod?</w:t>
      </w:r>
      <w:r>
        <w:t xml:space="preserve"> </w:t>
      </w:r>
      <w:r>
        <w:t xml:space="preserve">Yes. Every strain shows photoperiod-specific responses to cumulative diel photon dose that differ from a single light response model fit to the pooled data from a strain.</w:t>
      </w:r>
    </w:p>
    <w:p>
      <w:pPr>
        <w:pStyle w:val="BodyText"/>
      </w:pPr>
      <w:r>
        <w:t xml:space="preserve">Test: Do strains show distinct growth responses to cumulative diel photon dose, depending upon peak PAR?</w:t>
      </w:r>
      <w:r>
        <w:t xml:space="preserve"> </w:t>
      </w:r>
      <w:r>
        <w:t xml:space="preserve">Yes. In supplmental data, strains generally show peak-PAR specific responses to cumulative diel photon dose, that differ from a single light response model fit to the pooled data from a strain. Exceptions are that for strains 77 and 48 peak PAR of 600 or 900 µmol photons m</w:t>
      </w:r>
      <w:r>
        <w:rPr>
          <w:vertAlign w:val="superscript"/>
        </w:rPr>
        <w:t xml:space="preserve">−2</w:t>
      </w:r>
      <w:r>
        <w:t xml:space="preserve">d</w:t>
      </w:r>
      <w:r>
        <w:rPr>
          <w:vertAlign w:val="superscript"/>
        </w:rPr>
        <w:t xml:space="preserve">−1</w:t>
      </w:r>
      <w:r>
        <w:t xml:space="preserve"> </w:t>
      </w:r>
      <w:r>
        <w:t xml:space="preserve">are not significantly different from the pooled data model. A caveat to this findings is that cumulative diel photon dose is, of course, a product of photoperiod and PAR, so the highest levels of cumulative photon dose are only achieved under the 600 or 900 µmol photons m</w:t>
      </w:r>
      <w:r>
        <w:rPr>
          <w:vertAlign w:val="superscript"/>
        </w:rPr>
        <w:t xml:space="preserve">−2</w:t>
      </w:r>
      <w:r>
        <w:t xml:space="preserve">d</w:t>
      </w:r>
      <w:r>
        <w:rPr>
          <w:vertAlign w:val="superscript"/>
        </w:rPr>
        <w:t xml:space="preserve">−1</w:t>
      </w:r>
      <w:r>
        <w:t xml:space="preserve">.</w:t>
      </w:r>
    </w:p>
    <w:p>
      <w:pPr>
        <w:pStyle w:val="BodyText"/>
      </w:pPr>
      <w:r>
        <w:t xml:space="preserve">All four strains show saturation of growth rate under increasing cumulative diel PAR, but the achieved estimates of µ</w:t>
      </w:r>
      <w:r>
        <w:rPr>
          <w:vertAlign w:val="subscript"/>
        </w:rPr>
        <w:t xml:space="preserve">max</w:t>
      </w:r>
      <w:r>
        <w:t xml:space="preserve"> </w:t>
      </w:r>
      <w:r>
        <w:t xml:space="preserve">vary depending upon photoperiod and peak diel PAR. Plots of growth rates vs. cumulative diel PUR, estimated for exponential phase cultures, show similar patterns (Supplemental).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Research Question:</w:t>
      </w:r>
      <w:r>
        <w:t xml:space="preserve"> </w:t>
      </w:r>
      <w:r>
        <w:t xml:space="preserve">Do strains show consistent patterns of light capture efficacy (PUR/PAR ratio) across cumulative diel photon doses?</w:t>
      </w:r>
    </w:p>
    <w:p>
      <w:pPr>
        <w:pStyle w:val="BodyTex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07be7ca315362af814ea6c377136ba89340184d"/>
    <w:p>
      <w:pPr>
        <w:pStyle w:val="Heading2"/>
      </w:pPr>
      <w:r>
        <w:t xml:space="preserve">Changes effective absorption cross section of PSII</w:t>
      </w:r>
    </w:p>
    <w:p>
      <w:pPr>
        <w:pStyle w:val="FirstParagraph"/>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p>
      <w:pPr>
        <w:pStyle w:val="BodyText"/>
      </w:pPr>
      <w:r>
        <w:t xml:space="preserve">The linear fits also vary significantly among strains.</w:t>
      </w:r>
    </w:p>
    <w:p>
      <w:pPr>
        <w:pStyle w:val="CaptionedFigure"/>
      </w:pPr>
      <w:r>
        <w:drawing>
          <wp:inline>
            <wp:extent cx="5943600" cy="7641771"/>
            <wp:effectExtent b="0" l="0" r="0" t="0"/>
            <wp:docPr descr="Figure 6: Changes of effective absorption cross section of PSII (σPSII‘; nm2 quanta-1) measured under diel peak PAR growth light under Ex590 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Ex590 nm (orange)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significant differences between the fit models for different strains within a given phase of growth. Different uppercase letters indicate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End w:id="61"/>
    <w:bookmarkStart w:id="66" w:name="discussion"/>
    <w:p>
      <w:pPr>
        <w:pStyle w:val="Heading1"/>
      </w:pPr>
      <w:r>
        <w:t xml:space="preserve">Discussion</w:t>
      </w:r>
    </w:p>
    <w:bookmarkStart w:id="62"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2"/>
    <w:bookmarkStart w:id="63"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3"/>
    <w:bookmarkStart w:id="64"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[23,42]</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4"/>
    <w:bookmarkStart w:id="65"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65"/>
    <w:bookmarkEnd w:id="66"/>
    <w:bookmarkStart w:id="67"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67"/>
    <w:bookmarkStart w:id="151" w:name="references"/>
    <w:p>
      <w:pPr>
        <w:pStyle w:val="Heading1"/>
      </w:pPr>
      <w:r>
        <w:t xml:space="preserve">References</w:t>
      </w:r>
    </w:p>
    <w:bookmarkStart w:id="150" w:name="refs"/>
    <w:bookmarkStart w:id="69"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68">
        <w:r>
          <w:rPr>
            <w:rStyle w:val="Hyperlink"/>
          </w:rPr>
          <w:t xml:space="preserve">10.1146/annurev-marine-010213-135103</w:t>
        </w:r>
      </w:hyperlink>
    </w:p>
    <w:bookmarkEnd w:id="69"/>
    <w:bookmarkStart w:id="71"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0">
        <w:r>
          <w:rPr>
            <w:rStyle w:val="Hyperlink"/>
          </w:rPr>
          <w:t xml:space="preserve">10.1086/338511</w:t>
        </w:r>
      </w:hyperlink>
    </w:p>
    <w:bookmarkEnd w:id="71"/>
    <w:bookmarkStart w:id="73"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2">
        <w:r>
          <w:rPr>
            <w:rStyle w:val="Hyperlink"/>
          </w:rPr>
          <w:t xml:space="preserve">10.1038/s41559-020-01330-x</w:t>
        </w:r>
      </w:hyperlink>
    </w:p>
    <w:bookmarkEnd w:id="73"/>
    <w:bookmarkStart w:id="75"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74">
        <w:r>
          <w:rPr>
            <w:rStyle w:val="Hyperlink"/>
          </w:rPr>
          <w:t xml:space="preserve">10.1038/nature05317</w:t>
        </w:r>
      </w:hyperlink>
    </w:p>
    <w:bookmarkEnd w:id="75"/>
    <w:bookmarkStart w:id="77"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76">
        <w:r>
          <w:rPr>
            <w:rStyle w:val="Hyperlink"/>
          </w:rPr>
          <w:t xml:space="preserve">10.1038/nclimate3147</w:t>
        </w:r>
      </w:hyperlink>
    </w:p>
    <w:bookmarkEnd w:id="77"/>
    <w:bookmarkStart w:id="79"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78">
        <w:r>
          <w:rPr>
            <w:rStyle w:val="Hyperlink"/>
          </w:rPr>
          <w:t xml:space="preserve">10.1093/plankt/fbv008</w:t>
        </w:r>
      </w:hyperlink>
    </w:p>
    <w:bookmarkEnd w:id="79"/>
    <w:bookmarkStart w:id="81"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0">
        <w:r>
          <w:rPr>
            <w:rStyle w:val="Hyperlink"/>
          </w:rPr>
          <w:t xml:space="preserve">10.4319/lo.1999.44.1.0052</w:t>
        </w:r>
      </w:hyperlink>
    </w:p>
    <w:bookmarkEnd w:id="81"/>
    <w:bookmarkStart w:id="82"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2"/>
    <w:bookmarkStart w:id="84"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3">
        <w:r>
          <w:rPr>
            <w:rStyle w:val="Hyperlink"/>
          </w:rPr>
          <w:t xml:space="preserve">10.1073/pnas.1307701110</w:t>
        </w:r>
      </w:hyperlink>
    </w:p>
    <w:bookmarkEnd w:id="84"/>
    <w:bookmarkStart w:id="86"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85">
        <w:r>
          <w:rPr>
            <w:rStyle w:val="Hyperlink"/>
          </w:rPr>
          <w:t xml:space="preserve">https://www.jstor.org/stable/24852252</w:t>
        </w:r>
      </w:hyperlink>
    </w:p>
    <w:bookmarkEnd w:id="86"/>
    <w:bookmarkStart w:id="87"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87"/>
    <w:bookmarkStart w:id="89"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88">
        <w:r>
          <w:rPr>
            <w:rStyle w:val="Hyperlink"/>
          </w:rPr>
          <w:t xml:space="preserve">10.1016/j.rse.2020.111704</w:t>
        </w:r>
      </w:hyperlink>
    </w:p>
    <w:bookmarkEnd w:id="89"/>
    <w:bookmarkStart w:id="91"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0">
        <w:r>
          <w:rPr>
            <w:rStyle w:val="Hyperlink"/>
          </w:rPr>
          <w:t xml:space="preserve">10.1029/1999JC000308</w:t>
        </w:r>
      </w:hyperlink>
    </w:p>
    <w:bookmarkEnd w:id="91"/>
    <w:bookmarkStart w:id="93"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2">
        <w:r>
          <w:rPr>
            <w:rStyle w:val="Hyperlink"/>
          </w:rPr>
          <w:t xml:space="preserve">10.1017/S0025315406014287</w:t>
        </w:r>
      </w:hyperlink>
    </w:p>
    <w:bookmarkEnd w:id="93"/>
    <w:bookmarkStart w:id="95"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94">
        <w:r>
          <w:rPr>
            <w:rStyle w:val="Hyperlink"/>
          </w:rPr>
          <w:t xml:space="preserve">10.5194/bg-8-311-2011</w:t>
        </w:r>
      </w:hyperlink>
    </w:p>
    <w:bookmarkEnd w:id="95"/>
    <w:bookmarkStart w:id="97"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96">
        <w:r>
          <w:rPr>
            <w:rStyle w:val="Hyperlink"/>
          </w:rPr>
          <w:t xml:space="preserve">10.1073/pnas.2111300118</w:t>
        </w:r>
      </w:hyperlink>
    </w:p>
    <w:bookmarkEnd w:id="97"/>
    <w:bookmarkStart w:id="99"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98">
        <w:r>
          <w:rPr>
            <w:rStyle w:val="Hyperlink"/>
          </w:rPr>
          <w:t xml:space="preserve">10.1038/ismej.2008.118</w:t>
        </w:r>
      </w:hyperlink>
    </w:p>
    <w:bookmarkEnd w:id="99"/>
    <w:bookmarkStart w:id="101"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0">
        <w:r>
          <w:rPr>
            <w:rStyle w:val="Hyperlink"/>
          </w:rPr>
          <w:t xml:space="preserve">10.1111/1462-2920.16384</w:t>
        </w:r>
      </w:hyperlink>
    </w:p>
    <w:bookmarkEnd w:id="101"/>
    <w:bookmarkStart w:id="103"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2">
        <w:r>
          <w:rPr>
            <w:rStyle w:val="Hyperlink"/>
          </w:rPr>
          <w:t xml:space="preserve">10.1371/journal.pone.0001341</w:t>
        </w:r>
      </w:hyperlink>
    </w:p>
    <w:bookmarkEnd w:id="103"/>
    <w:bookmarkStart w:id="105"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04">
        <w:r>
          <w:rPr>
            <w:rStyle w:val="Hyperlink"/>
          </w:rPr>
          <w:t xml:space="preserve">10.1007/978-1-4615-8714-9_3</w:t>
        </w:r>
      </w:hyperlink>
    </w:p>
    <w:bookmarkEnd w:id="105"/>
    <w:bookmarkStart w:id="106"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06"/>
    <w:bookmarkStart w:id="108"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07">
        <w:r>
          <w:rPr>
            <w:rStyle w:val="Hyperlink"/>
          </w:rPr>
          <w:t xml:space="preserve">10.1016/j.jphotobiol.2005.10.002</w:t>
        </w:r>
      </w:hyperlink>
    </w:p>
    <w:bookmarkEnd w:id="108"/>
    <w:bookmarkStart w:id="110"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09">
        <w:r>
          <w:rPr>
            <w:rStyle w:val="Hyperlink"/>
          </w:rPr>
          <w:t xml:space="preserve">10.1016/0146-6291(78)90623-9</w:t>
        </w:r>
      </w:hyperlink>
    </w:p>
    <w:bookmarkEnd w:id="110"/>
    <w:bookmarkStart w:id="112"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1">
        <w:r>
          <w:rPr>
            <w:rStyle w:val="Hyperlink"/>
          </w:rPr>
          <w:t xml:space="preserve">DOI: http://dx.doi.org/10.25607/OBP-1791</w:t>
        </w:r>
      </w:hyperlink>
    </w:p>
    <w:bookmarkEnd w:id="112"/>
    <w:bookmarkStart w:id="114"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3">
        <w:r>
          <w:rPr>
            <w:rStyle w:val="Hyperlink"/>
          </w:rPr>
          <w:t xml:space="preserve">10.1083/jcb.58.2.419</w:t>
        </w:r>
      </w:hyperlink>
    </w:p>
    <w:bookmarkEnd w:id="114"/>
    <w:bookmarkStart w:id="115"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15"/>
    <w:bookmarkStart w:id="116"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16"/>
    <w:bookmarkStart w:id="117"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17"/>
    <w:bookmarkStart w:id="119"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18">
        <w:r>
          <w:rPr>
            <w:rStyle w:val="Hyperlink"/>
          </w:rPr>
          <w:t xml:space="preserve">10.1007/978-3-319-24277-4_9</w:t>
        </w:r>
      </w:hyperlink>
    </w:p>
    <w:bookmarkEnd w:id="119"/>
    <w:bookmarkStart w:id="121"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20">
        <w:r>
          <w:rPr>
            <w:rStyle w:val="Hyperlink"/>
          </w:rPr>
          <w:t xml:space="preserve">10.1038/284481a0</w:t>
        </w:r>
      </w:hyperlink>
    </w:p>
    <w:bookmarkEnd w:id="121"/>
    <w:bookmarkStart w:id="123"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22">
        <w:r>
          <w:rPr>
            <w:rStyle w:val="Hyperlink"/>
          </w:rPr>
          <w:t xml:space="preserve">10.1007/978-3-030-90383-1_9</w:t>
        </w:r>
      </w:hyperlink>
    </w:p>
    <w:bookmarkEnd w:id="123"/>
    <w:bookmarkStart w:id="125"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24">
        <w:r>
          <w:rPr>
            <w:rStyle w:val="Hyperlink"/>
          </w:rPr>
          <w:t xml:space="preserve">10.3390/cells9092030</w:t>
        </w:r>
      </w:hyperlink>
    </w:p>
    <w:bookmarkEnd w:id="125"/>
    <w:bookmarkStart w:id="127"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26">
        <w:r>
          <w:rPr>
            <w:rStyle w:val="Hyperlink"/>
          </w:rPr>
          <w:t xml:space="preserve">10.5194/bg-15-6257-2018</w:t>
        </w:r>
      </w:hyperlink>
    </w:p>
    <w:bookmarkEnd w:id="127"/>
    <w:bookmarkStart w:id="128"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28"/>
    <w:bookmarkStart w:id="130"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29">
        <w:r>
          <w:rPr>
            <w:rStyle w:val="Hyperlink"/>
          </w:rPr>
          <w:t xml:space="preserve">10.1126/science.281.5374.237</w:t>
        </w:r>
      </w:hyperlink>
    </w:p>
    <w:bookmarkEnd w:id="130"/>
    <w:bookmarkStart w:id="132"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31">
        <w:r>
          <w:rPr>
            <w:rStyle w:val="Hyperlink"/>
          </w:rPr>
          <w:t xml:space="preserve">10.1111/j.1365-2427.2008.02119.x</w:t>
        </w:r>
      </w:hyperlink>
    </w:p>
    <w:bookmarkEnd w:id="132"/>
    <w:bookmarkStart w:id="134"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33">
        <w:r>
          <w:rPr>
            <w:rStyle w:val="Hyperlink"/>
          </w:rPr>
          <w:t xml:space="preserve">10.1111/nph.17903</w:t>
        </w:r>
      </w:hyperlink>
    </w:p>
    <w:bookmarkEnd w:id="134"/>
    <w:bookmarkStart w:id="136"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35">
        <w:r>
          <w:rPr>
            <w:rStyle w:val="Hyperlink"/>
          </w:rPr>
          <w:t xml:space="preserve">10.1186/gb-2008-9-5-r90</w:t>
        </w:r>
      </w:hyperlink>
    </w:p>
    <w:bookmarkEnd w:id="136"/>
    <w:bookmarkStart w:id="137"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37"/>
    <w:bookmarkStart w:id="139"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38">
        <w:r>
          <w:rPr>
            <w:rStyle w:val="Hyperlink"/>
          </w:rPr>
          <w:t xml:space="preserve">10.1007/s10812-020-00944-0</w:t>
        </w:r>
      </w:hyperlink>
    </w:p>
    <w:bookmarkEnd w:id="139"/>
    <w:bookmarkStart w:id="141"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40">
        <w:r>
          <w:rPr>
            <w:rStyle w:val="Hyperlink"/>
          </w:rPr>
          <w:t xml:space="preserve">10.1126/science.290.5490.291</w:t>
        </w:r>
      </w:hyperlink>
    </w:p>
    <w:bookmarkEnd w:id="141"/>
    <w:bookmarkStart w:id="143"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42">
        <w:r>
          <w:rPr>
            <w:rStyle w:val="Hyperlink"/>
          </w:rPr>
          <w:t xml:space="preserve">10.1029/JC093iC09p10749</w:t>
        </w:r>
      </w:hyperlink>
    </w:p>
    <w:bookmarkEnd w:id="143"/>
    <w:bookmarkStart w:id="145"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44">
        <w:r>
          <w:rPr>
            <w:rStyle w:val="Hyperlink"/>
          </w:rPr>
          <w:t xml:space="preserve">10.1007/978-81-322-2610-9_4</w:t>
        </w:r>
      </w:hyperlink>
    </w:p>
    <w:bookmarkEnd w:id="145"/>
    <w:bookmarkStart w:id="147"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46">
        <w:r>
          <w:rPr>
            <w:rStyle w:val="Hyperlink"/>
          </w:rPr>
          <w:t xml:space="preserve">10.1134/S0026261715020150</w:t>
        </w:r>
      </w:hyperlink>
    </w:p>
    <w:bookmarkEnd w:id="147"/>
    <w:bookmarkStart w:id="149"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48">
        <w:r>
          <w:rPr>
            <w:rStyle w:val="Hyperlink"/>
          </w:rPr>
          <w:t xml:space="preserve">10.1007/978-94-011-0227-8_17</w:t>
        </w:r>
      </w:hyperlink>
    </w:p>
    <w:bookmarkEnd w:id="149"/>
    <w:bookmarkEnd w:id="150"/>
    <w:bookmarkEnd w:id="151"/>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04" Target="https://doi.org/10.1007/978-1-4615-8714-9_3" TargetMode="External" /><Relationship Type="http://schemas.openxmlformats.org/officeDocument/2006/relationships/hyperlink" Id="rId122" Target="https://doi.org/10.1007/978-3-030-90383-1_9" TargetMode="External" /><Relationship Type="http://schemas.openxmlformats.org/officeDocument/2006/relationships/hyperlink" Id="rId118" Target="https://doi.org/10.1007/978-3-319-24277-4_9" TargetMode="External" /><Relationship Type="http://schemas.openxmlformats.org/officeDocument/2006/relationships/hyperlink" Id="rId144" Target="https://doi.org/10.1007/978-81-322-2610-9_4" TargetMode="External" /><Relationship Type="http://schemas.openxmlformats.org/officeDocument/2006/relationships/hyperlink" Id="rId148" Target="https://doi.org/10.1007/978-94-011-0227-8_17" TargetMode="External" /><Relationship Type="http://schemas.openxmlformats.org/officeDocument/2006/relationships/hyperlink" Id="rId138" Target="https://doi.org/10.1007/s10812-020-00944-0" TargetMode="External" /><Relationship Type="http://schemas.openxmlformats.org/officeDocument/2006/relationships/hyperlink" Id="rId109" Target="https://doi.org/10.1016/0146-6291(78)90623-9" TargetMode="External" /><Relationship Type="http://schemas.openxmlformats.org/officeDocument/2006/relationships/hyperlink" Id="rId107" Target="https://doi.org/10.1016/j.jphotobiol.2005.10.002" TargetMode="External" /><Relationship Type="http://schemas.openxmlformats.org/officeDocument/2006/relationships/hyperlink" Id="rId88" Target="https://doi.org/10.1016/j.rse.2020.111704" TargetMode="External" /><Relationship Type="http://schemas.openxmlformats.org/officeDocument/2006/relationships/hyperlink" Id="rId92" Target="https://doi.org/10.1017/S0025315406014287" TargetMode="External" /><Relationship Type="http://schemas.openxmlformats.org/officeDocument/2006/relationships/hyperlink" Id="rId90" Target="https://doi.org/10.1029/1999JC000308" TargetMode="External" /><Relationship Type="http://schemas.openxmlformats.org/officeDocument/2006/relationships/hyperlink" Id="rId142" Target="https://doi.org/10.1029/JC093iC09p10749" TargetMode="External" /><Relationship Type="http://schemas.openxmlformats.org/officeDocument/2006/relationships/hyperlink" Id="rId120" Target="https://doi.org/10.1038/284481a0" TargetMode="External" /><Relationship Type="http://schemas.openxmlformats.org/officeDocument/2006/relationships/hyperlink" Id="rId98"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76" Target="https://doi.org/10.1038/nclimate3147" TargetMode="External" /><Relationship Type="http://schemas.openxmlformats.org/officeDocument/2006/relationships/hyperlink" Id="rId72" Target="https://doi.org/10.1038/s41559-020-01330-x" TargetMode="External" /><Relationship Type="http://schemas.openxmlformats.org/officeDocument/2006/relationships/hyperlink" Id="rId83" Target="https://doi.org/10.1073/pnas.1307701110" TargetMode="External" /><Relationship Type="http://schemas.openxmlformats.org/officeDocument/2006/relationships/hyperlink" Id="rId96" Target="https://doi.org/10.1073/pnas.2111300118" TargetMode="External" /><Relationship Type="http://schemas.openxmlformats.org/officeDocument/2006/relationships/hyperlink" Id="rId113" Target="https://doi.org/10.1083/jcb.58.2.419" TargetMode="External" /><Relationship Type="http://schemas.openxmlformats.org/officeDocument/2006/relationships/hyperlink" Id="rId70" Target="https://doi.org/10.1086/338511" TargetMode="External" /><Relationship Type="http://schemas.openxmlformats.org/officeDocument/2006/relationships/hyperlink" Id="rId78" Target="https://doi.org/10.1093/plankt/fbv008" TargetMode="External" /><Relationship Type="http://schemas.openxmlformats.org/officeDocument/2006/relationships/hyperlink" Id="rId100" Target="https://doi.org/10.1111/1462-2920.16384" TargetMode="External" /><Relationship Type="http://schemas.openxmlformats.org/officeDocument/2006/relationships/hyperlink" Id="rId131" Target="https://doi.org/10.1111/j.1365-2427.2008.02119.x" TargetMode="External" /><Relationship Type="http://schemas.openxmlformats.org/officeDocument/2006/relationships/hyperlink" Id="rId133" Target="https://doi.org/10.1111/nph.17903" TargetMode="External" /><Relationship Type="http://schemas.openxmlformats.org/officeDocument/2006/relationships/hyperlink" Id="rId129" Target="https://doi.org/10.1126/science.281.5374.237" TargetMode="External" /><Relationship Type="http://schemas.openxmlformats.org/officeDocument/2006/relationships/hyperlink" Id="rId140" Target="https://doi.org/10.1126/science.290.5490.291" TargetMode="External" /><Relationship Type="http://schemas.openxmlformats.org/officeDocument/2006/relationships/hyperlink" Id="rId146"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135" Target="https://doi.org/10.1186/gb-2008-9-5-r90" TargetMode="External" /><Relationship Type="http://schemas.openxmlformats.org/officeDocument/2006/relationships/hyperlink" Id="rId102" Target="https://doi.org/10.1371/journal.pone.0001341" TargetMode="External" /><Relationship Type="http://schemas.openxmlformats.org/officeDocument/2006/relationships/hyperlink" Id="rId124" Target="https://doi.org/10.3390/cells9092030" TargetMode="External" /><Relationship Type="http://schemas.openxmlformats.org/officeDocument/2006/relationships/hyperlink" Id="rId80" Target="https://doi.org/10.4319/lo.1999.44.1.0052" TargetMode="External" /><Relationship Type="http://schemas.openxmlformats.org/officeDocument/2006/relationships/hyperlink" Id="rId126" Target="https://doi.org/10.5194/bg-15-6257-2018" TargetMode="External" /><Relationship Type="http://schemas.openxmlformats.org/officeDocument/2006/relationships/hyperlink" Id="rId94" Target="https://doi.org/10.5194/bg-8-311-2011" TargetMode="External" /><Relationship Type="http://schemas.openxmlformats.org/officeDocument/2006/relationships/hyperlink" Id="rId85"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2024-03-01T00:06:44Z</dcterms:created>
  <dcterms:modified xsi:type="dcterms:W3CDTF">2024-03-01T00:06:44Z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